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A0" w:rsidRDefault="005A7B2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11BA0" w:rsidRDefault="005A7B20" w:rsidP="009A060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仿宋"/>
          <w:sz w:val="28"/>
          <w:szCs w:val="32"/>
        </w:rPr>
      </w:pPr>
      <w:r>
        <w:rPr>
          <w:rFonts w:ascii="方正小标宋简体" w:eastAsia="方正小标宋简体" w:hAnsi="仿宋" w:cs="Times New Roman" w:hint="eastAsia"/>
          <w:b/>
          <w:sz w:val="44"/>
          <w:szCs w:val="44"/>
        </w:rPr>
        <w:t>南京医科大学试卷命题评价表</w:t>
      </w:r>
    </w:p>
    <w:tbl>
      <w:tblPr>
        <w:tblStyle w:val="a6"/>
        <w:tblW w:w="8608" w:type="dxa"/>
        <w:tblLook w:val="04A0" w:firstRow="1" w:lastRow="0" w:firstColumn="1" w:lastColumn="0" w:noHBand="0" w:noVBand="1"/>
      </w:tblPr>
      <w:tblGrid>
        <w:gridCol w:w="988"/>
        <w:gridCol w:w="1164"/>
        <w:gridCol w:w="2152"/>
        <w:gridCol w:w="2152"/>
        <w:gridCol w:w="1052"/>
        <w:gridCol w:w="567"/>
        <w:gridCol w:w="533"/>
      </w:tblGrid>
      <w:tr w:rsidR="00B11BA0">
        <w:trPr>
          <w:trHeight w:val="694"/>
        </w:trPr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试卷（课程）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名称</w:t>
            </w:r>
          </w:p>
        </w:tc>
        <w:tc>
          <w:tcPr>
            <w:tcW w:w="2152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所在学院</w:t>
            </w:r>
          </w:p>
        </w:tc>
        <w:tc>
          <w:tcPr>
            <w:tcW w:w="2152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考试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学期</w:t>
            </w:r>
          </w:p>
        </w:tc>
        <w:tc>
          <w:tcPr>
            <w:tcW w:w="2152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考试对象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（年级专业）</w:t>
            </w:r>
          </w:p>
        </w:tc>
        <w:tc>
          <w:tcPr>
            <w:tcW w:w="2152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课程负责人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152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52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</w:t>
            </w:r>
          </w:p>
        </w:tc>
        <w:tc>
          <w:tcPr>
            <w:tcW w:w="2152" w:type="dxa"/>
            <w:gridSpan w:val="3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988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评审指标</w:t>
            </w: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567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</w:t>
            </w:r>
          </w:p>
        </w:tc>
        <w:tc>
          <w:tcPr>
            <w:tcW w:w="533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否</w:t>
            </w:r>
          </w:p>
        </w:tc>
      </w:tr>
      <w:tr w:rsidR="00B11BA0">
        <w:tc>
          <w:tcPr>
            <w:tcW w:w="988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成立2-</w:t>
            </w:r>
            <w:r>
              <w:rPr>
                <w:rFonts w:ascii="仿宋" w:eastAsia="仿宋" w:hAnsi="仿宋"/>
                <w:sz w:val="24"/>
                <w:szCs w:val="24"/>
              </w:rPr>
              <w:t>3人的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命题小组，由命题小组承担课程考试命题工作，且课程负责人或学系（教研室）负责人担任组长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符合教学大纲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制定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“命题方案双向明细表”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“掌握”部分占考核内容的</w:t>
            </w:r>
            <w:r>
              <w:rPr>
                <w:rFonts w:ascii="仿宋" w:eastAsia="仿宋" w:hAnsi="仿宋"/>
                <w:sz w:val="24"/>
                <w:szCs w:val="24"/>
              </w:rPr>
              <w:t>60％-70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％，“熟悉”占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  <w:r>
              <w:rPr>
                <w:rFonts w:ascii="仿宋" w:eastAsia="仿宋" w:hAnsi="仿宋"/>
                <w:sz w:val="24"/>
                <w:szCs w:val="24"/>
              </w:rPr>
              <w:t>-30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％，“了解”或“超纲”不超过</w:t>
            </w:r>
            <w:r>
              <w:rPr>
                <w:rFonts w:ascii="仿宋" w:eastAsia="仿宋" w:hAnsi="仿宋"/>
                <w:sz w:val="24"/>
                <w:szCs w:val="24"/>
              </w:rPr>
              <w:t>10％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记忆（识记）层次分值比例不超过</w:t>
            </w:r>
            <w:r>
              <w:rPr>
                <w:rFonts w:ascii="仿宋" w:eastAsia="仿宋" w:hAnsi="仿宋"/>
                <w:sz w:val="24"/>
                <w:szCs w:val="24"/>
              </w:rPr>
              <w:t>30％，理解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应用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、分析、评价等中、高阶认知层次的</w:t>
            </w:r>
            <w:r>
              <w:rPr>
                <w:rFonts w:ascii="仿宋" w:eastAsia="仿宋" w:hAnsi="仿宋"/>
                <w:sz w:val="24"/>
                <w:szCs w:val="24"/>
              </w:rPr>
              <w:t>比例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不低于</w:t>
            </w:r>
            <w:r>
              <w:rPr>
                <w:rFonts w:ascii="仿宋" w:eastAsia="仿宋" w:hAnsi="仿宋"/>
                <w:sz w:val="24"/>
                <w:szCs w:val="24"/>
              </w:rPr>
              <w:t>60％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客观题题量与分值不低于</w:t>
            </w:r>
            <w:r>
              <w:rPr>
                <w:rFonts w:ascii="仿宋" w:eastAsia="仿宋" w:hAnsi="仿宋"/>
                <w:sz w:val="24"/>
                <w:szCs w:val="24"/>
              </w:rPr>
              <w:t>50％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配套相应的“参考答案和评分标准”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填空题、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选择题、判断题等客观题的答案，做到答题标准“唯一”；计算题、简答题、论述题、分析题等主观题的“参考答案和评分标准”明确列出答题要点和关键得分点，不以“略”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等模糊词语替代。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A、B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两套试卷，</w:t>
            </w:r>
            <w:r>
              <w:rPr>
                <w:rFonts w:ascii="仿宋" w:eastAsia="仿宋" w:hAnsi="仿宋"/>
                <w:sz w:val="24"/>
                <w:szCs w:val="24"/>
              </w:rPr>
              <w:t>满分均为100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两套试卷在知识单元、考题类型、题目数量、测试难度和分值上相当，且试题（原题）重复率小于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考试平均难度应控制在</w:t>
            </w:r>
            <w:r>
              <w:rPr>
                <w:rFonts w:ascii="仿宋" w:eastAsia="仿宋" w:hAnsi="仿宋"/>
                <w:sz w:val="24"/>
                <w:szCs w:val="24"/>
              </w:rPr>
              <w:t>0.7-0.8，难、中、易试题分别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>
              <w:rPr>
                <w:rFonts w:ascii="仿宋" w:eastAsia="仿宋" w:hAnsi="仿宋"/>
                <w:sz w:val="24"/>
                <w:szCs w:val="24"/>
              </w:rPr>
              <w:t>占20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  <w:r>
              <w:rPr>
                <w:rFonts w:ascii="仿宋" w:eastAsia="仿宋" w:hAnsi="仿宋"/>
                <w:sz w:val="24"/>
                <w:szCs w:val="24"/>
              </w:rPr>
              <w:t>、30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  <w:r>
              <w:rPr>
                <w:rFonts w:ascii="仿宋" w:eastAsia="仿宋" w:hAnsi="仿宋"/>
                <w:sz w:val="24"/>
                <w:szCs w:val="24"/>
              </w:rPr>
              <w:t>、50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由命题小组组长对试卷进行审核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，并</w:t>
            </w:r>
            <w:r>
              <w:rPr>
                <w:rFonts w:ascii="仿宋" w:eastAsia="仿宋" w:hAnsi="仿宋"/>
                <w:sz w:val="24"/>
                <w:szCs w:val="24"/>
              </w:rPr>
              <w:t>从A、B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两套试卷中随机抽取其一作为考试试卷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采用学校统一规定的试卷格式和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要求组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卷制卷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三年内重复使用的试题（原题）分值不得超过试卷总分值的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988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优秀率（</w:t>
            </w:r>
            <w:r>
              <w:rPr>
                <w:rFonts w:ascii="仿宋" w:eastAsia="仿宋" w:hAnsi="仿宋"/>
                <w:sz w:val="24"/>
                <w:szCs w:val="24"/>
              </w:rPr>
              <w:t>90分及以上）不超过15％，不及格率（60分以下）不超过15％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5A7B2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11BA0" w:rsidRDefault="005A7B2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B11BA0" w:rsidRDefault="0076307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32"/>
        </w:rPr>
      </w:pPr>
      <w:r>
        <w:rPr>
          <w:rFonts w:ascii="方正小标宋简体" w:eastAsia="方正小标宋简体" w:hAnsi="仿宋" w:hint="eastAsia"/>
          <w:b/>
          <w:color w:val="000000"/>
          <w:sz w:val="44"/>
          <w:szCs w:val="32"/>
        </w:rPr>
        <w:t>南京医科大学</w:t>
      </w:r>
      <w:r w:rsidR="005A7B20">
        <w:rPr>
          <w:rFonts w:ascii="方正小标宋简体" w:eastAsia="方正小标宋简体" w:hAnsi="仿宋" w:hint="eastAsia"/>
          <w:b/>
          <w:color w:val="000000"/>
          <w:sz w:val="44"/>
          <w:szCs w:val="32"/>
        </w:rPr>
        <w:t>优秀试卷命题申报表</w:t>
      </w:r>
    </w:p>
    <w:tbl>
      <w:tblPr>
        <w:tblStyle w:val="a6"/>
        <w:tblW w:w="8745" w:type="dxa"/>
        <w:tblLook w:val="04A0" w:firstRow="1" w:lastRow="0" w:firstColumn="1" w:lastColumn="0" w:noHBand="0" w:noVBand="1"/>
      </w:tblPr>
      <w:tblGrid>
        <w:gridCol w:w="844"/>
        <w:gridCol w:w="546"/>
        <w:gridCol w:w="796"/>
        <w:gridCol w:w="1778"/>
        <w:gridCol w:w="408"/>
        <w:gridCol w:w="585"/>
        <w:gridCol w:w="945"/>
        <w:gridCol w:w="472"/>
        <w:gridCol w:w="184"/>
        <w:gridCol w:w="289"/>
        <w:gridCol w:w="945"/>
        <w:gridCol w:w="953"/>
      </w:tblGrid>
      <w:tr w:rsidR="00B11BA0">
        <w:trPr>
          <w:trHeight w:val="694"/>
        </w:trPr>
        <w:tc>
          <w:tcPr>
            <w:tcW w:w="2186" w:type="dxa"/>
            <w:gridSpan w:val="3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试卷（课程）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名称</w:t>
            </w:r>
          </w:p>
        </w:tc>
        <w:tc>
          <w:tcPr>
            <w:tcW w:w="2186" w:type="dxa"/>
            <w:gridSpan w:val="2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所在学院</w:t>
            </w:r>
          </w:p>
        </w:tc>
        <w:tc>
          <w:tcPr>
            <w:tcW w:w="2187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2186" w:type="dxa"/>
            <w:gridSpan w:val="3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考试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学期</w:t>
            </w:r>
          </w:p>
        </w:tc>
        <w:tc>
          <w:tcPr>
            <w:tcW w:w="2186" w:type="dxa"/>
            <w:gridSpan w:val="2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考试对象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（年级专业）</w:t>
            </w:r>
          </w:p>
        </w:tc>
        <w:tc>
          <w:tcPr>
            <w:tcW w:w="2187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2186" w:type="dxa"/>
            <w:gridSpan w:val="3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课程负责人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186" w:type="dxa"/>
            <w:gridSpan w:val="2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</w:t>
            </w:r>
          </w:p>
        </w:tc>
        <w:tc>
          <w:tcPr>
            <w:tcW w:w="2187" w:type="dxa"/>
            <w:gridSpan w:val="3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745" w:type="dxa"/>
            <w:gridSpan w:val="12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评审指标参数</w:t>
            </w:r>
          </w:p>
        </w:tc>
      </w:tr>
      <w:tr w:rsidR="00B11BA0">
        <w:trPr>
          <w:trHeight w:val="85"/>
        </w:trPr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序号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  <w:r>
              <w:rPr>
                <w:rFonts w:ascii="仿宋" w:eastAsia="仿宋" w:hAnsi="仿宋"/>
                <w:sz w:val="28"/>
                <w:szCs w:val="32"/>
              </w:rPr>
              <w:t>/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指标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内容/</w:t>
            </w:r>
            <w:r>
              <w:rPr>
                <w:rFonts w:ascii="仿宋" w:eastAsia="仿宋" w:hAnsi="仿宋"/>
                <w:sz w:val="28"/>
                <w:szCs w:val="32"/>
              </w:rPr>
              <w:t>参数</w:t>
            </w:r>
          </w:p>
        </w:tc>
        <w:tc>
          <w:tcPr>
            <w:tcW w:w="953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备注</w:t>
            </w: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命题小组成员姓名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命题方案双向明细表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另附</w:t>
            </w:r>
          </w:p>
        </w:tc>
        <w:tc>
          <w:tcPr>
            <w:tcW w:w="953" w:type="dxa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试卷份数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（是否A</w:t>
            </w:r>
            <w:r>
              <w:rPr>
                <w:rFonts w:ascii="仿宋" w:eastAsia="仿宋" w:hAnsi="仿宋"/>
                <w:sz w:val="28"/>
                <w:szCs w:val="32"/>
              </w:rPr>
              <w:t>B卷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rPr>
          <w:trHeight w:val="85"/>
        </w:trPr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A</w:t>
            </w:r>
            <w:r>
              <w:rPr>
                <w:rFonts w:ascii="仿宋" w:eastAsia="仿宋" w:hAnsi="仿宋"/>
                <w:sz w:val="28"/>
                <w:szCs w:val="32"/>
              </w:rPr>
              <w:t>B卷重复率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rPr>
          <w:trHeight w:val="85"/>
        </w:trPr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空白样卷及标准答案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另附</w:t>
            </w:r>
          </w:p>
        </w:tc>
        <w:tc>
          <w:tcPr>
            <w:tcW w:w="953" w:type="dxa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6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掌握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>
              <w:rPr>
                <w:rFonts w:ascii="仿宋" w:eastAsia="仿宋" w:hAnsi="仿宋"/>
                <w:sz w:val="28"/>
                <w:szCs w:val="32"/>
              </w:rPr>
              <w:t>熟悉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>
              <w:rPr>
                <w:rFonts w:ascii="仿宋" w:eastAsia="仿宋" w:hAnsi="仿宋"/>
                <w:sz w:val="28"/>
                <w:szCs w:val="32"/>
              </w:rPr>
              <w:t>了解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含超纲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）试题比例</w:t>
            </w:r>
          </w:p>
        </w:tc>
        <w:tc>
          <w:tcPr>
            <w:tcW w:w="945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以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A卷为例</w:t>
            </w: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7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记忆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>
              <w:rPr>
                <w:rFonts w:ascii="仿宋" w:eastAsia="仿宋" w:hAnsi="仿宋"/>
                <w:sz w:val="28"/>
                <w:szCs w:val="32"/>
              </w:rPr>
              <w:t>非记忆试题比例</w:t>
            </w:r>
          </w:p>
        </w:tc>
        <w:tc>
          <w:tcPr>
            <w:tcW w:w="1417" w:type="dxa"/>
            <w:gridSpan w:val="2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客观题题量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>
              <w:rPr>
                <w:rFonts w:ascii="仿宋" w:eastAsia="仿宋" w:hAnsi="仿宋"/>
                <w:sz w:val="28"/>
                <w:szCs w:val="32"/>
              </w:rPr>
              <w:t>分值比例</w:t>
            </w:r>
          </w:p>
        </w:tc>
        <w:tc>
          <w:tcPr>
            <w:tcW w:w="1417" w:type="dxa"/>
            <w:gridSpan w:val="2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9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试卷难度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sz w:val="28"/>
                <w:szCs w:val="32"/>
              </w:rPr>
              <w:t>0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三年内重复试题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（原题）比例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sz w:val="28"/>
                <w:szCs w:val="32"/>
              </w:rPr>
              <w:t>1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成绩优秀率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>
              <w:rPr>
                <w:rFonts w:ascii="仿宋" w:eastAsia="仿宋" w:hAnsi="仿宋"/>
                <w:sz w:val="28"/>
                <w:szCs w:val="32"/>
              </w:rPr>
              <w:t>不及格率</w:t>
            </w:r>
          </w:p>
        </w:tc>
        <w:tc>
          <w:tcPr>
            <w:tcW w:w="1417" w:type="dxa"/>
            <w:gridSpan w:val="2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5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sz w:val="28"/>
                <w:szCs w:val="32"/>
              </w:rPr>
              <w:t>2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成绩分析报告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另附</w:t>
            </w:r>
          </w:p>
        </w:tc>
        <w:tc>
          <w:tcPr>
            <w:tcW w:w="95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sz w:val="28"/>
                <w:szCs w:val="32"/>
              </w:rPr>
              <w:t>3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试卷分析报告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另附</w:t>
            </w:r>
          </w:p>
        </w:tc>
        <w:tc>
          <w:tcPr>
            <w:tcW w:w="95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sz w:val="28"/>
                <w:szCs w:val="32"/>
              </w:rPr>
              <w:t>4</w:t>
            </w:r>
          </w:p>
        </w:tc>
        <w:tc>
          <w:tcPr>
            <w:tcW w:w="4113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归档试卷</w:t>
            </w:r>
          </w:p>
        </w:tc>
        <w:tc>
          <w:tcPr>
            <w:tcW w:w="2835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另附</w:t>
            </w:r>
          </w:p>
        </w:tc>
        <w:tc>
          <w:tcPr>
            <w:tcW w:w="95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rPr>
          <w:trHeight w:val="732"/>
        </w:trPr>
        <w:tc>
          <w:tcPr>
            <w:tcW w:w="8745" w:type="dxa"/>
            <w:gridSpan w:val="1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奖励措施分配方案</w:t>
            </w:r>
          </w:p>
        </w:tc>
      </w:tr>
      <w:tr w:rsidR="00B11BA0">
        <w:trPr>
          <w:trHeight w:val="780"/>
        </w:trPr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3120" w:type="dxa"/>
            <w:gridSpan w:val="3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奖金收款人姓名及工号</w:t>
            </w:r>
          </w:p>
        </w:tc>
        <w:tc>
          <w:tcPr>
            <w:tcW w:w="4781" w:type="dxa"/>
            <w:gridSpan w:val="8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rPr>
          <w:trHeight w:val="1962"/>
        </w:trPr>
        <w:tc>
          <w:tcPr>
            <w:tcW w:w="844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3120" w:type="dxa"/>
            <w:gridSpan w:val="3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教学</w:t>
            </w:r>
            <w:proofErr w:type="gramStart"/>
            <w:r>
              <w:rPr>
                <w:rFonts w:ascii="仿宋" w:eastAsia="仿宋" w:hAnsi="仿宋"/>
                <w:sz w:val="28"/>
                <w:szCs w:val="32"/>
              </w:rPr>
              <w:t>激励分</w:t>
            </w:r>
            <w:proofErr w:type="gramEnd"/>
            <w:r>
              <w:rPr>
                <w:rFonts w:ascii="仿宋" w:eastAsia="仿宋" w:hAnsi="仿宋"/>
                <w:sz w:val="28"/>
                <w:szCs w:val="32"/>
              </w:rPr>
              <w:t>获得者姓名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>
              <w:rPr>
                <w:rFonts w:ascii="仿宋" w:eastAsia="仿宋" w:hAnsi="仿宋"/>
                <w:sz w:val="28"/>
                <w:szCs w:val="32"/>
              </w:rPr>
              <w:t>工号及分值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（个人不超过3分，总分不超过1</w:t>
            </w:r>
            <w:r>
              <w:rPr>
                <w:rFonts w:ascii="仿宋" w:eastAsia="仿宋" w:hAnsi="仿宋"/>
                <w:sz w:val="28"/>
                <w:szCs w:val="32"/>
              </w:rPr>
              <w:t>0分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</w:tc>
        <w:tc>
          <w:tcPr>
            <w:tcW w:w="4781" w:type="dxa"/>
            <w:gridSpan w:val="8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1390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学院意见</w:t>
            </w:r>
          </w:p>
        </w:tc>
        <w:tc>
          <w:tcPr>
            <w:tcW w:w="7355" w:type="dxa"/>
            <w:gridSpan w:val="10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（盖章）</w:t>
            </w:r>
          </w:p>
          <w:p w:rsidR="00B11BA0" w:rsidRDefault="005A7B20">
            <w:pPr>
              <w:adjustRightInd w:val="0"/>
              <w:snapToGrid w:val="0"/>
              <w:spacing w:line="560" w:lineRule="exact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日</w:t>
            </w:r>
          </w:p>
        </w:tc>
      </w:tr>
      <w:tr w:rsidR="00B11BA0">
        <w:trPr>
          <w:trHeight w:val="1268"/>
        </w:trPr>
        <w:tc>
          <w:tcPr>
            <w:tcW w:w="1390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评审结果</w:t>
            </w:r>
          </w:p>
        </w:tc>
        <w:tc>
          <w:tcPr>
            <w:tcW w:w="7355" w:type="dxa"/>
            <w:gridSpan w:val="10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（盖章）</w:t>
            </w:r>
          </w:p>
          <w:p w:rsidR="00B11BA0" w:rsidRDefault="005A7B20">
            <w:pPr>
              <w:adjustRightInd w:val="0"/>
              <w:snapToGrid w:val="0"/>
              <w:spacing w:line="560" w:lineRule="exact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日</w:t>
            </w:r>
          </w:p>
        </w:tc>
      </w:tr>
    </w:tbl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FC3FBA" w:rsidRDefault="00FC3FBA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B11BA0" w:rsidRDefault="005A7B2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3</w:t>
      </w:r>
    </w:p>
    <w:p w:rsidR="00B11BA0" w:rsidRDefault="0076307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32"/>
        </w:rPr>
      </w:pPr>
      <w:r>
        <w:rPr>
          <w:rFonts w:ascii="方正小标宋简体" w:eastAsia="方正小标宋简体" w:hAnsi="仿宋" w:hint="eastAsia"/>
          <w:b/>
          <w:color w:val="000000"/>
          <w:sz w:val="44"/>
          <w:szCs w:val="32"/>
        </w:rPr>
        <w:t>南京医科大学</w:t>
      </w:r>
      <w:bookmarkStart w:id="0" w:name="_GoBack"/>
      <w:bookmarkEnd w:id="0"/>
      <w:r w:rsidR="005A7B20">
        <w:rPr>
          <w:rFonts w:ascii="方正小标宋简体" w:eastAsia="方正小标宋简体" w:hAnsi="仿宋" w:hint="eastAsia"/>
          <w:b/>
          <w:color w:val="000000"/>
          <w:sz w:val="44"/>
          <w:szCs w:val="32"/>
        </w:rPr>
        <w:t>优秀学业评价案例申报表</w:t>
      </w:r>
    </w:p>
    <w:tbl>
      <w:tblPr>
        <w:tblStyle w:val="a6"/>
        <w:tblW w:w="8608" w:type="dxa"/>
        <w:tblLook w:val="04A0" w:firstRow="1" w:lastRow="0" w:firstColumn="1" w:lastColumn="0" w:noHBand="0" w:noVBand="1"/>
      </w:tblPr>
      <w:tblGrid>
        <w:gridCol w:w="1413"/>
        <w:gridCol w:w="739"/>
        <w:gridCol w:w="2152"/>
        <w:gridCol w:w="227"/>
        <w:gridCol w:w="1925"/>
        <w:gridCol w:w="1052"/>
        <w:gridCol w:w="567"/>
        <w:gridCol w:w="533"/>
      </w:tblGrid>
      <w:tr w:rsidR="00B11BA0">
        <w:trPr>
          <w:trHeight w:val="694"/>
        </w:trPr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课程名称</w:t>
            </w:r>
          </w:p>
        </w:tc>
        <w:tc>
          <w:tcPr>
            <w:tcW w:w="2152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所在学院</w:t>
            </w:r>
          </w:p>
        </w:tc>
        <w:tc>
          <w:tcPr>
            <w:tcW w:w="2152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授课学期</w:t>
            </w:r>
          </w:p>
        </w:tc>
        <w:tc>
          <w:tcPr>
            <w:tcW w:w="2152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授课对象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（年级专业）</w:t>
            </w:r>
          </w:p>
        </w:tc>
        <w:tc>
          <w:tcPr>
            <w:tcW w:w="2152" w:type="dxa"/>
            <w:gridSpan w:val="3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课程负责人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152" w:type="dxa"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</w:t>
            </w:r>
          </w:p>
        </w:tc>
        <w:tc>
          <w:tcPr>
            <w:tcW w:w="2152" w:type="dxa"/>
            <w:gridSpan w:val="3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1BA0">
        <w:tc>
          <w:tcPr>
            <w:tcW w:w="1413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评审指标</w:t>
            </w:r>
          </w:p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（需附支撑材料）</w:t>
            </w:r>
          </w:p>
        </w:tc>
        <w:tc>
          <w:tcPr>
            <w:tcW w:w="6095" w:type="dxa"/>
            <w:gridSpan w:val="5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567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</w:t>
            </w:r>
          </w:p>
        </w:tc>
        <w:tc>
          <w:tcPr>
            <w:tcW w:w="533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否</w:t>
            </w:r>
          </w:p>
        </w:tc>
      </w:tr>
      <w:tr w:rsidR="00B11BA0">
        <w:tc>
          <w:tcPr>
            <w:tcW w:w="141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总体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评价方式在开讲</w:t>
            </w:r>
            <w:r>
              <w:rPr>
                <w:rFonts w:ascii="仿宋" w:eastAsia="仿宋" w:hAnsi="仿宋"/>
                <w:sz w:val="24"/>
                <w:szCs w:val="24"/>
              </w:rPr>
              <w:t>后的前两周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内明确告知</w:t>
            </w:r>
            <w:r>
              <w:rPr>
                <w:rFonts w:ascii="仿宋" w:eastAsia="仿宋" w:hAnsi="仿宋"/>
                <w:sz w:val="24"/>
                <w:szCs w:val="24"/>
              </w:rPr>
              <w:t>学生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141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过程考核成绩占总评成绩的20％-50％，期末考核成绩占50％-80％。核心课程的过程考核成绩占总评成绩的比例不超过40％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141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过程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除期中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、期末考试外，有其他形式的过程考核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过程考核结果及时反馈给相关师生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试卷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命题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成立2-</w:t>
            </w:r>
            <w:r>
              <w:rPr>
                <w:rFonts w:ascii="仿宋" w:eastAsia="仿宋" w:hAnsi="仿宋"/>
                <w:sz w:val="24"/>
                <w:szCs w:val="24"/>
              </w:rPr>
              <w:t>3人的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命题小组，由命题小组承担课程考试命题工作，且课程负责人或学系（教研室）负责人担任组长。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符合教学大纲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制定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“命题方案双向明细表”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“掌握”部分占考核内容的</w:t>
            </w:r>
            <w:r>
              <w:rPr>
                <w:rFonts w:ascii="仿宋" w:eastAsia="仿宋" w:hAnsi="仿宋"/>
                <w:sz w:val="24"/>
                <w:szCs w:val="24"/>
              </w:rPr>
              <w:t>60％-70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％，“熟悉”占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  <w:r>
              <w:rPr>
                <w:rFonts w:ascii="仿宋" w:eastAsia="仿宋" w:hAnsi="仿宋"/>
                <w:sz w:val="24"/>
                <w:szCs w:val="24"/>
              </w:rPr>
              <w:t>-30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％，“了解”或“超纲”不超过</w:t>
            </w:r>
            <w:r>
              <w:rPr>
                <w:rFonts w:ascii="仿宋" w:eastAsia="仿宋" w:hAnsi="仿宋"/>
                <w:sz w:val="24"/>
                <w:szCs w:val="24"/>
              </w:rPr>
              <w:t>10％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记忆（识记）层次分值比例不超过</w:t>
            </w:r>
            <w:r>
              <w:rPr>
                <w:rFonts w:ascii="仿宋" w:eastAsia="仿宋" w:hAnsi="仿宋"/>
                <w:sz w:val="24"/>
                <w:szCs w:val="24"/>
              </w:rPr>
              <w:t>30％，理解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应用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、分析、评价等中、高阶认知层次的</w:t>
            </w:r>
            <w:r>
              <w:rPr>
                <w:rFonts w:ascii="仿宋" w:eastAsia="仿宋" w:hAnsi="仿宋"/>
                <w:sz w:val="24"/>
                <w:szCs w:val="24"/>
              </w:rPr>
              <w:t>比例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不低于</w:t>
            </w:r>
            <w:r>
              <w:rPr>
                <w:rFonts w:ascii="仿宋" w:eastAsia="仿宋" w:hAnsi="仿宋"/>
                <w:sz w:val="24"/>
                <w:szCs w:val="24"/>
              </w:rPr>
              <w:t>60％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客观题题量与分值不低于</w:t>
            </w:r>
            <w:r>
              <w:rPr>
                <w:rFonts w:ascii="仿宋" w:eastAsia="仿宋" w:hAnsi="仿宋"/>
                <w:sz w:val="24"/>
                <w:szCs w:val="24"/>
              </w:rPr>
              <w:t>50％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配套相应的“参考答案和评分标准”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填空题、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选择题、判断题等客观题的答案，做到答题标准“唯一”；计算题、简答题、论述题、分析题等主观题的“参考答案和评分标准”明确列出答题要点和关键得分点，不以“略”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等模糊词语替代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A、B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两套试卷，</w:t>
            </w:r>
            <w:r>
              <w:rPr>
                <w:rFonts w:ascii="仿宋" w:eastAsia="仿宋" w:hAnsi="仿宋"/>
                <w:sz w:val="24"/>
                <w:szCs w:val="24"/>
              </w:rPr>
              <w:t>满分均为100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两套试卷在知识单元、考题类型、题目数量、测试难度和分值上相当，且试题（原题）重复率小于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考试平均难度应控制在</w:t>
            </w:r>
            <w:r>
              <w:rPr>
                <w:rFonts w:ascii="仿宋" w:eastAsia="仿宋" w:hAnsi="仿宋"/>
                <w:sz w:val="24"/>
                <w:szCs w:val="24"/>
              </w:rPr>
              <w:t>0.7-0.8，难、中、易试题分别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>
              <w:rPr>
                <w:rFonts w:ascii="仿宋" w:eastAsia="仿宋" w:hAnsi="仿宋"/>
                <w:sz w:val="24"/>
                <w:szCs w:val="24"/>
              </w:rPr>
              <w:t>占20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  <w:r>
              <w:rPr>
                <w:rFonts w:ascii="仿宋" w:eastAsia="仿宋" w:hAnsi="仿宋"/>
                <w:sz w:val="24"/>
                <w:szCs w:val="24"/>
              </w:rPr>
              <w:t>、30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  <w:r>
              <w:rPr>
                <w:rFonts w:ascii="仿宋" w:eastAsia="仿宋" w:hAnsi="仿宋"/>
                <w:sz w:val="24"/>
                <w:szCs w:val="24"/>
              </w:rPr>
              <w:t>、50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由命题小组组长对试卷进行审核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，并</w:t>
            </w:r>
            <w:r>
              <w:rPr>
                <w:rFonts w:ascii="仿宋" w:eastAsia="仿宋" w:hAnsi="仿宋"/>
                <w:sz w:val="24"/>
                <w:szCs w:val="24"/>
              </w:rPr>
              <w:t>从A、B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两套试卷中随机抽取其一作为考试试卷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采用学校统一规定的试卷格式和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要求组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卷制卷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topLinePunct/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三年内重复使用的试题（原题）分值不得超过试卷总分值的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优秀率（</w:t>
            </w:r>
            <w:r>
              <w:rPr>
                <w:rFonts w:ascii="仿宋" w:eastAsia="仿宋" w:hAnsi="仿宋"/>
                <w:sz w:val="24"/>
                <w:szCs w:val="24"/>
              </w:rPr>
              <w:t>90分及以上）不超过15％，不及格率（60分以下）不超过15％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试卷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印制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试卷印制由专人负责，由教务处文印中心印制。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实行严格的试卷交接登记制度，整个过程的不同环节均实行责任人签名负责制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考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务</w:t>
            </w:r>
            <w:proofErr w:type="gramEnd"/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管理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每个考场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按要求</w:t>
            </w:r>
            <w:r>
              <w:rPr>
                <w:rFonts w:ascii="仿宋" w:eastAsia="仿宋" w:hAnsi="仿宋"/>
                <w:sz w:val="24"/>
                <w:szCs w:val="24"/>
              </w:rPr>
              <w:t>配齐监考人员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阅卷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评分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成立阅卷小组，在临时阅卷室进行集中阅卷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采取分题、定人、流水作业的阅卷方式，参加阅卷的教师要按照标准答案及评分标准进行评分，并在自己所评定的试卷上签名以示负责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错判卷不超过1％。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按时报送纸质成绩单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分析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反馈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进行考试成绩</w:t>
            </w:r>
            <w:r>
              <w:rPr>
                <w:rFonts w:ascii="仿宋" w:eastAsia="仿宋" w:hAnsi="仿宋"/>
                <w:sz w:val="24"/>
                <w:szCs w:val="24"/>
              </w:rPr>
              <w:t>分析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进行试卷分析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分析结果及时反馈给相关师生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建档</w:t>
            </w:r>
          </w:p>
          <w:p w:rsidR="00B11BA0" w:rsidRDefault="005A7B2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存档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对试卷（包括空白卷）进行装订、封存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、归档，并交至学院或学系（教研室）试卷存放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库统一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保管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下学期开学前完成所有考生核查成绩申请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并给予回复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  <w:vMerge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考生毕业后满5年，对试卷进行保密销毁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c>
          <w:tcPr>
            <w:tcW w:w="1413" w:type="dxa"/>
            <w:vMerge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9" w:type="dxa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5356" w:type="dxa"/>
            <w:gridSpan w:val="4"/>
            <w:vAlign w:val="center"/>
          </w:tcPr>
          <w:p w:rsidR="00B11BA0" w:rsidRDefault="005A7B20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其他特色做法</w:t>
            </w:r>
          </w:p>
        </w:tc>
        <w:tc>
          <w:tcPr>
            <w:tcW w:w="567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11BA0" w:rsidRDefault="00B11BA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A0">
        <w:trPr>
          <w:trHeight w:val="1948"/>
        </w:trPr>
        <w:tc>
          <w:tcPr>
            <w:tcW w:w="1413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申报理由</w:t>
            </w:r>
          </w:p>
        </w:tc>
        <w:tc>
          <w:tcPr>
            <w:tcW w:w="7195" w:type="dxa"/>
            <w:gridSpan w:val="7"/>
          </w:tcPr>
          <w:p w:rsidR="00B11BA0" w:rsidRDefault="005A7B2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（请</w:t>
            </w:r>
            <w:r>
              <w:rPr>
                <w:rFonts w:ascii="仿宋" w:eastAsia="仿宋" w:hAnsi="仿宋"/>
                <w:sz w:val="28"/>
                <w:szCs w:val="32"/>
              </w:rPr>
              <w:t>另附页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重点突出特色做法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</w:tc>
      </w:tr>
      <w:tr w:rsidR="00B11BA0">
        <w:trPr>
          <w:trHeight w:val="983"/>
        </w:trPr>
        <w:tc>
          <w:tcPr>
            <w:tcW w:w="1413" w:type="dxa"/>
            <w:vMerge w:val="restart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奖励措施分配方案</w:t>
            </w:r>
          </w:p>
        </w:tc>
        <w:tc>
          <w:tcPr>
            <w:tcW w:w="3118" w:type="dxa"/>
            <w:gridSpan w:val="3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奖金收款人姓名及工号</w:t>
            </w:r>
          </w:p>
        </w:tc>
        <w:tc>
          <w:tcPr>
            <w:tcW w:w="4077" w:type="dxa"/>
            <w:gridSpan w:val="4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rPr>
          <w:trHeight w:val="1230"/>
        </w:trPr>
        <w:tc>
          <w:tcPr>
            <w:tcW w:w="1413" w:type="dxa"/>
            <w:vMerge/>
            <w:vAlign w:val="center"/>
          </w:tcPr>
          <w:p w:rsidR="00B11BA0" w:rsidRDefault="00B11BA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11BA0" w:rsidRDefault="005A7B20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教学</w:t>
            </w:r>
            <w:proofErr w:type="gramStart"/>
            <w:r>
              <w:rPr>
                <w:rFonts w:ascii="仿宋" w:eastAsia="仿宋" w:hAnsi="仿宋"/>
                <w:sz w:val="28"/>
                <w:szCs w:val="32"/>
              </w:rPr>
              <w:t>激励分</w:t>
            </w:r>
            <w:proofErr w:type="gramEnd"/>
            <w:r>
              <w:rPr>
                <w:rFonts w:ascii="仿宋" w:eastAsia="仿宋" w:hAnsi="仿宋"/>
                <w:sz w:val="28"/>
                <w:szCs w:val="32"/>
              </w:rPr>
              <w:t>获得者姓名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>
              <w:rPr>
                <w:rFonts w:ascii="仿宋" w:eastAsia="仿宋" w:hAnsi="仿宋"/>
                <w:sz w:val="28"/>
                <w:szCs w:val="32"/>
              </w:rPr>
              <w:t>工号及分值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（个人不超过3分，总分不超过1</w:t>
            </w:r>
            <w:r>
              <w:rPr>
                <w:rFonts w:ascii="仿宋" w:eastAsia="仿宋" w:hAnsi="仿宋"/>
                <w:sz w:val="28"/>
                <w:szCs w:val="32"/>
              </w:rPr>
              <w:t>0分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</w:tc>
        <w:tc>
          <w:tcPr>
            <w:tcW w:w="4077" w:type="dxa"/>
            <w:gridSpan w:val="4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11BA0">
        <w:tc>
          <w:tcPr>
            <w:tcW w:w="1413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学院意见</w:t>
            </w:r>
          </w:p>
        </w:tc>
        <w:tc>
          <w:tcPr>
            <w:tcW w:w="7195" w:type="dxa"/>
            <w:gridSpan w:val="7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（盖章）</w:t>
            </w:r>
          </w:p>
          <w:p w:rsidR="00B11BA0" w:rsidRDefault="005A7B20">
            <w:pPr>
              <w:adjustRightInd w:val="0"/>
              <w:snapToGrid w:val="0"/>
              <w:spacing w:line="560" w:lineRule="exact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日</w:t>
            </w:r>
          </w:p>
        </w:tc>
      </w:tr>
      <w:tr w:rsidR="00B11BA0">
        <w:trPr>
          <w:trHeight w:val="1268"/>
        </w:trPr>
        <w:tc>
          <w:tcPr>
            <w:tcW w:w="1413" w:type="dxa"/>
            <w:vAlign w:val="center"/>
          </w:tcPr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评审结果</w:t>
            </w:r>
          </w:p>
        </w:tc>
        <w:tc>
          <w:tcPr>
            <w:tcW w:w="7195" w:type="dxa"/>
            <w:gridSpan w:val="7"/>
          </w:tcPr>
          <w:p w:rsidR="00B11BA0" w:rsidRDefault="00B11BA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B11BA0" w:rsidRDefault="005A7B2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（盖章）</w:t>
            </w:r>
          </w:p>
          <w:p w:rsidR="00B11BA0" w:rsidRDefault="005A7B20">
            <w:pPr>
              <w:adjustRightInd w:val="0"/>
              <w:snapToGrid w:val="0"/>
              <w:spacing w:line="560" w:lineRule="exact"/>
              <w:jc w:val="righ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日</w:t>
            </w:r>
          </w:p>
        </w:tc>
      </w:tr>
    </w:tbl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p w:rsidR="00B11BA0" w:rsidRDefault="00B11BA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color w:val="000000"/>
          <w:sz w:val="44"/>
          <w:szCs w:val="32"/>
        </w:rPr>
      </w:pPr>
    </w:p>
    <w:sectPr w:rsidR="00B11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A"/>
    <w:rsid w:val="00131B7C"/>
    <w:rsid w:val="001D387E"/>
    <w:rsid w:val="001E5950"/>
    <w:rsid w:val="002624DB"/>
    <w:rsid w:val="002977FB"/>
    <w:rsid w:val="00347FFA"/>
    <w:rsid w:val="003C224A"/>
    <w:rsid w:val="00431B32"/>
    <w:rsid w:val="00474A43"/>
    <w:rsid w:val="005537AB"/>
    <w:rsid w:val="005A7B20"/>
    <w:rsid w:val="005C56DB"/>
    <w:rsid w:val="005D0D8C"/>
    <w:rsid w:val="005F19D5"/>
    <w:rsid w:val="00615536"/>
    <w:rsid w:val="0063231E"/>
    <w:rsid w:val="006D77AE"/>
    <w:rsid w:val="0072660C"/>
    <w:rsid w:val="00763071"/>
    <w:rsid w:val="00802D74"/>
    <w:rsid w:val="00833EBA"/>
    <w:rsid w:val="00845259"/>
    <w:rsid w:val="008E7142"/>
    <w:rsid w:val="00921D90"/>
    <w:rsid w:val="009A0600"/>
    <w:rsid w:val="009A3FD3"/>
    <w:rsid w:val="009A4E35"/>
    <w:rsid w:val="00A14FF6"/>
    <w:rsid w:val="00AB2B17"/>
    <w:rsid w:val="00AE5D01"/>
    <w:rsid w:val="00B11BA0"/>
    <w:rsid w:val="00B87B0F"/>
    <w:rsid w:val="00BC0EC4"/>
    <w:rsid w:val="00BD1E84"/>
    <w:rsid w:val="00BD6044"/>
    <w:rsid w:val="00BE1403"/>
    <w:rsid w:val="00BE4961"/>
    <w:rsid w:val="00C376F4"/>
    <w:rsid w:val="00C62CCD"/>
    <w:rsid w:val="00C71FD5"/>
    <w:rsid w:val="00C80F04"/>
    <w:rsid w:val="00CA79C0"/>
    <w:rsid w:val="00D22C6F"/>
    <w:rsid w:val="00D342C7"/>
    <w:rsid w:val="00D75935"/>
    <w:rsid w:val="00D900D1"/>
    <w:rsid w:val="00D933F1"/>
    <w:rsid w:val="00DA72C3"/>
    <w:rsid w:val="00DD3E8A"/>
    <w:rsid w:val="00E10BC1"/>
    <w:rsid w:val="00E477C6"/>
    <w:rsid w:val="00E56508"/>
    <w:rsid w:val="00E84E9B"/>
    <w:rsid w:val="00E907DF"/>
    <w:rsid w:val="00E93318"/>
    <w:rsid w:val="00EB240E"/>
    <w:rsid w:val="00F04BD6"/>
    <w:rsid w:val="00F0589A"/>
    <w:rsid w:val="00F318CC"/>
    <w:rsid w:val="00F45DC9"/>
    <w:rsid w:val="00F474A0"/>
    <w:rsid w:val="00F97F3B"/>
    <w:rsid w:val="00FA0AEB"/>
    <w:rsid w:val="00FC3FBA"/>
    <w:rsid w:val="6A9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A2548-FD0B-46A7-A186-E8ED355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245AB6-1A5B-4F0D-B4D8-5D180196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36</cp:revision>
  <cp:lastPrinted>2020-04-07T07:26:00Z</cp:lastPrinted>
  <dcterms:created xsi:type="dcterms:W3CDTF">2020-04-02T01:39:00Z</dcterms:created>
  <dcterms:modified xsi:type="dcterms:W3CDTF">2020-04-20T06:26:00Z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