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right="0" w:rightChars="0" w:firstLine="0" w:firstLineChars="0"/>
        <w:jc w:val="center"/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</w:rPr>
        <w:t>南京医科大学课堂教学质量评价表</w:t>
      </w:r>
    </w:p>
    <w:p>
      <w:pPr>
        <w:widowControl/>
        <w:jc w:val="center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</w:rPr>
        <w:t>（课堂教学专用）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课程名称(内容)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  开课时间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 开课学院、地点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        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主讲教师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 授课(节)次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 教师所属单位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616"/>
        <w:gridCol w:w="360"/>
        <w:gridCol w:w="612"/>
        <w:gridCol w:w="612"/>
        <w:gridCol w:w="612"/>
        <w:gridCol w:w="612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评价维度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（权重）</w:t>
            </w:r>
          </w:p>
        </w:tc>
        <w:tc>
          <w:tcPr>
            <w:tcW w:w="3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主要评价点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（根据下列主要评价点的符合程度评分）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评分（5分为满分）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重视度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（10%）</w:t>
            </w: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重视课堂教学，教学认真负责，全心投入；关爱学生，对学生要求严格</w:t>
            </w:r>
          </w:p>
        </w:tc>
        <w:tc>
          <w:tcPr>
            <w:tcW w:w="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规范度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（10%）</w:t>
            </w: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上课准时；备课充分；仪表端庄；态度端正；表达清楚；课件制作精良；板书规范；双语应用恰当；时间安排合理</w:t>
            </w:r>
          </w:p>
        </w:tc>
        <w:tc>
          <w:tcPr>
            <w:tcW w:w="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明晰度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（20%）</w:t>
            </w:r>
          </w:p>
        </w:tc>
        <w:tc>
          <w:tcPr>
            <w:tcW w:w="39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讲解正确、熟练，条理清晰；核心知识点、重点和难点突出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互动度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（20%）</w:t>
            </w:r>
          </w:p>
        </w:tc>
        <w:tc>
          <w:tcPr>
            <w:tcW w:w="39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注重与学生交流互动；注重启发引导学生，激发学生的学习兴趣和主动性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帮助度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（10%）</w:t>
            </w:r>
          </w:p>
        </w:tc>
        <w:tc>
          <w:tcPr>
            <w:tcW w:w="39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通过讲解和引导，有助于学生对知识的理解和掌握；有助于学生人文素养、科学精神、思维能力和自主学习能力的提高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特色度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（10%）</w:t>
            </w:r>
          </w:p>
        </w:tc>
        <w:tc>
          <w:tcPr>
            <w:tcW w:w="39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富有激情，感染力强；教学方式和风格独特；注重教育教学新理念、新方法的探索与尝试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满意度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（20%）</w:t>
            </w:r>
          </w:p>
        </w:tc>
        <w:tc>
          <w:tcPr>
            <w:tcW w:w="397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总体教学效果佳；课堂纪律和气氛好；大多数学生能认真听讲，积极参与互动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课堂记事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教师是否迟到：    否    是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是否提前下课：    否   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应到学生数：</w:t>
            </w:r>
          </w:p>
        </w:tc>
        <w:tc>
          <w:tcPr>
            <w:tcW w:w="342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实到学生数（约）：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迟到学生数（约）：</w:t>
            </w:r>
          </w:p>
        </w:tc>
        <w:tc>
          <w:tcPr>
            <w:tcW w:w="3420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早退学生数（约）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其他评价和建议</w:t>
            </w:r>
          </w:p>
        </w:tc>
        <w:tc>
          <w:tcPr>
            <w:tcW w:w="7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p>
      <w:pPr>
        <w:widowControl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督导专家：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 评价时间：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日</w:t>
      </w:r>
    </w:p>
    <w:tbl>
      <w:tblPr>
        <w:tblStyle w:val="2"/>
        <w:tblW w:w="97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57"/>
        <w:gridCol w:w="5638"/>
        <w:gridCol w:w="567"/>
        <w:gridCol w:w="567"/>
        <w:gridCol w:w="567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" w:hRule="atLeast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南京医科大学临床见习教学评分表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2" w:hRule="atLeast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课程名称：</w:t>
            </w:r>
            <w:r>
              <w:rPr>
                <w:rFonts w:hint="eastAsia"/>
                <w:b/>
                <w:bCs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</w:rPr>
              <w:t xml:space="preserve">   上课日期：</w:t>
            </w:r>
            <w:r>
              <w:rPr>
                <w:rFonts w:hint="eastAsia"/>
                <w:b/>
                <w:bCs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 xml:space="preserve"> 授课节次：</w:t>
            </w:r>
            <w:r>
              <w:rPr>
                <w:rFonts w:hint="eastAsia"/>
                <w:b/>
                <w:bCs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" w:hRule="atLeast"/>
        </w:trPr>
        <w:tc>
          <w:tcPr>
            <w:tcW w:w="979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主讲教师：</w:t>
            </w:r>
            <w:r>
              <w:rPr>
                <w:rFonts w:hint="eastAsia"/>
                <w:b/>
                <w:bCs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</w:rPr>
              <w:t xml:space="preserve">   所属学院：</w:t>
            </w:r>
            <w:r>
              <w:rPr>
                <w:rFonts w:hint="eastAsia"/>
                <w:b/>
                <w:bCs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 xml:space="preserve"> 见习地点：</w:t>
            </w:r>
            <w:r>
              <w:rPr>
                <w:rFonts w:hint="eastAsia"/>
                <w:b/>
                <w:bCs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" w:hRule="atLeast"/>
        </w:trPr>
        <w:tc>
          <w:tcPr>
            <w:tcW w:w="7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基本项目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备课记录</w:t>
            </w:r>
          </w:p>
        </w:tc>
        <w:tc>
          <w:tcPr>
            <w:tcW w:w="63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教研室有完整详实的备课记录；教学进度表对见习课内容、时间和带教老师记录明确，与实际安排吻合。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教案准备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教案清晰具体，对整体教学过程有良好的设计与规划；典型病例，符合教学大纲要求。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教学场地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能安排专门或相对独立进行见习教学示教室或场地，空间适宜，光线明亮，有多媒体等设备。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学生准备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准备好见习所需的用具，如工作服、口罩、帽子、听诊器等；提前5-10分钟到达见习病区，按要求在指定地点等候。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restart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理论回顾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核查学生出勤情况；介绍本次见习教学的带教老师、教学目的和基本要求，对理论知识做重点回顾，强调与本次见习相关的内容。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告知学生分组及床边见习的患者姓名及床号，提醒学生在问诊及体格检查过程中需要注意的问题（如问诊技巧、人文关怀等）。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restart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床边教学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安排一名见习学生作为主询问者对患者进行病史采集并记录，其他学生在主询问者后可依次补充提问。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仔细观察学生病史采集过程，认真记录学生问诊过程中出现问题，予以适当引导、纠正，顺利帮助学生完成病史采集。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引导学生提出必要的体格检查内容，3-4名见习学生分别完成相应部分有重点的体格检查，并汇报结果。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纠正学生错误体检手法，做正确示范。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对目前已有的辅助检查判读，对正常值或隐性结果以及异常值或阳性结果的判读。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restart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汇报总结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病史主询问学生对采集的病史进行汇报，带教老师引导学生对汇报过程及病例病史、体征、实验室检查结果进一步分析讨论。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能引导学生总结归纳病种的临床特点、诊断与鉴别诊断要点。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带领学生对疾病的治疗、康复、预防等内容进行分析讨论。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带教老师结合床旁实践记录的问题进行综合评价，给出改进意见；询问学生有无疑问，对问题进行解答。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现场布置思考题由学生回答，对本次见习内容进行总结归纳，再次回顾知识点及见习重点。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restart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整体情况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讲解时能密切结合病例、病案，并与课堂理论教学内容相结合。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教学过程组织合理，时间安排恰当，带教过程中采用提问式、引导式、启发式教学方法。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准备必需、丰富的教学用具、多媒体材料及信息化教学手段，并在过程中充分利用。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通过见习教学，有助于掌握理论教学内容；有助于培养学生对临床实践的兴趣，整体教学效果良好。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" w:hRule="atLeast"/>
        </w:trPr>
        <w:tc>
          <w:tcPr>
            <w:tcW w:w="753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基本总分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" w:hRule="atLeast"/>
        </w:trPr>
        <w:tc>
          <w:tcPr>
            <w:tcW w:w="753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附加项目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892" w:type="dxa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加分项目</w:t>
            </w:r>
          </w:p>
        </w:tc>
        <w:tc>
          <w:tcPr>
            <w:tcW w:w="5638" w:type="dxa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注重对学生进行人文关怀及医患沟通技巧的训练，最高加5分。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5638" w:type="dxa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开展双语教学，对关键的词语示范到位，最高加5分。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5638" w:type="dxa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教学态度认真、情绪饱满、仪表端庄、语言亲切，最高加5分。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5638" w:type="dxa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现场抽查学生教学效果良好，最高加5分。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892" w:type="dxa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扣分项目</w:t>
            </w:r>
          </w:p>
        </w:tc>
        <w:tc>
          <w:tcPr>
            <w:tcW w:w="5638" w:type="dxa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15人以上见习分组每增加1人扣1分，最高扣10分。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5638" w:type="dxa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改变带教内容，以放录像或小讲座形式代替床边教学，最高扣5分。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5638" w:type="dxa"/>
            <w:noWrap w:val="0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教师带教过程中从事非必需的医疗活动，最高扣5分。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53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分数合计</w:t>
            </w:r>
          </w:p>
        </w:tc>
        <w:tc>
          <w:tcPr>
            <w:tcW w:w="2268" w:type="dxa"/>
            <w:gridSpan w:val="4"/>
            <w:noWrap/>
            <w:vAlign w:val="top"/>
          </w:tcPr>
          <w:p>
            <w:pPr>
              <w:widowControl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1892" w:type="dxa"/>
            <w:gridSpan w:val="2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综合评价</w:t>
            </w:r>
          </w:p>
        </w:tc>
        <w:tc>
          <w:tcPr>
            <w:tcW w:w="7906" w:type="dxa"/>
            <w:gridSpan w:val="5"/>
            <w:noWrap w:val="0"/>
            <w:vAlign w:val="top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1892" w:type="dxa"/>
            <w:gridSpan w:val="2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改进意见</w:t>
            </w:r>
          </w:p>
        </w:tc>
        <w:tc>
          <w:tcPr>
            <w:tcW w:w="7906" w:type="dxa"/>
            <w:gridSpan w:val="5"/>
            <w:noWrap w:val="0"/>
            <w:vAlign w:val="top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18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其他事项</w:t>
            </w:r>
          </w:p>
        </w:tc>
        <w:tc>
          <w:tcPr>
            <w:tcW w:w="7906" w:type="dxa"/>
            <w:gridSpan w:val="5"/>
            <w:noWrap w:val="0"/>
            <w:vAlign w:val="top"/>
          </w:tcPr>
          <w:p>
            <w:pPr>
              <w:widowControl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8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专家签名</w:t>
            </w:r>
          </w:p>
        </w:tc>
        <w:tc>
          <w:tcPr>
            <w:tcW w:w="7906" w:type="dxa"/>
            <w:gridSpan w:val="5"/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</w:tbl>
    <w:p>
      <w:pPr>
        <w:ind w:right="-437" w:rightChars="-208"/>
        <w:jc w:val="center"/>
        <w:rPr>
          <w:rFonts w:hint="eastAsia" w:ascii="华文新魏" w:eastAsia="华文新魏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1"/>
      <w:r>
        <w:rPr>
          <w:rFonts w:hint="eastAsia" w:ascii="华文新魏" w:eastAsia="华文新魏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南京医科大学实习单位教学文档检查记录表</w:t>
      </w:r>
      <w:bookmarkEnd w:id="0"/>
    </w:p>
    <w:p>
      <w:pPr>
        <w:spacing w:line="360" w:lineRule="auto"/>
        <w:ind w:right="19" w:rightChars="9" w:firstLine="240" w:firstLineChars="100"/>
        <w:rPr>
          <w:rFonts w:hint="eastAsia" w:ascii="楷体_GB2312" w:hAnsi="华文中宋" w:eastAsia="楷体_GB231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楷体_GB2312" w:hAnsi="华文中宋" w:eastAsia="楷体_GB231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实习医院：            检查时间：                专家签名：</w:t>
      </w:r>
    </w:p>
    <w:tbl>
      <w:tblPr>
        <w:tblStyle w:val="2"/>
        <w:tblW w:w="578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689"/>
        <w:gridCol w:w="3450"/>
        <w:gridCol w:w="14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项  目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评分点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检查情况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计分</w:t>
            </w:r>
          </w:p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（每项10分）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实习医师管理记录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Cs/>
                <w:szCs w:val="21"/>
              </w:rPr>
              <w:t>日常管理记录、违纪或奖励记录，兼职班主任工作记录、党团活动记录等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入科教育记录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进院及入科岗前教育材料，职业道德及人文教育材料等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入科技能培训及考核记录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Cs/>
                <w:szCs w:val="21"/>
              </w:rPr>
              <w:t>三轮入科前技能培训计划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、</w:t>
            </w:r>
            <w:r>
              <w:rPr>
                <w:rFonts w:ascii="楷体_GB2312" w:hAnsi="宋体" w:eastAsia="楷体_GB2312"/>
                <w:bCs/>
                <w:szCs w:val="21"/>
              </w:rPr>
              <w:t>培训和考核记录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、</w:t>
            </w:r>
            <w:r>
              <w:rPr>
                <w:rFonts w:ascii="楷体_GB2312" w:hAnsi="宋体" w:eastAsia="楷体_GB2312"/>
                <w:bCs/>
                <w:szCs w:val="21"/>
              </w:rPr>
              <w:t>考核成绩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，</w:t>
            </w:r>
            <w:r>
              <w:rPr>
                <w:rFonts w:ascii="楷体_GB2312" w:hAnsi="宋体" w:eastAsia="楷体_GB2312"/>
                <w:bCs/>
                <w:szCs w:val="21"/>
              </w:rPr>
              <w:t>结果反馈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出科技能培训及考核记录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Cs/>
                <w:szCs w:val="21"/>
              </w:rPr>
              <w:t>各实习科室出科理论考核和技能考核记录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（题目、组织形式等）、考核</w:t>
            </w:r>
            <w:r>
              <w:rPr>
                <w:rFonts w:ascii="楷体_GB2312" w:hAnsi="宋体" w:eastAsia="楷体_GB2312"/>
                <w:bCs/>
                <w:szCs w:val="21"/>
              </w:rPr>
              <w:t>成绩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、</w:t>
            </w:r>
            <w:r>
              <w:rPr>
                <w:rFonts w:ascii="楷体_GB2312" w:hAnsi="宋体" w:eastAsia="楷体_GB2312"/>
                <w:bCs/>
                <w:szCs w:val="21"/>
              </w:rPr>
              <w:t>结果反馈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临床技能中心使用记录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临床技能中心开放记录、课程培训记录等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教学查房记录</w:t>
            </w:r>
          </w:p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（1-2周一次）</w:t>
            </w:r>
          </w:p>
        </w:tc>
        <w:tc>
          <w:tcPr>
            <w:tcW w:w="1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频率、内容等</w:t>
            </w:r>
          </w:p>
        </w:tc>
        <w:tc>
          <w:tcPr>
            <w:tcW w:w="1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病例讨论记录</w:t>
            </w:r>
          </w:p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（1-2次/月）</w:t>
            </w:r>
          </w:p>
        </w:tc>
        <w:tc>
          <w:tcPr>
            <w:tcW w:w="1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频率、内容等</w:t>
            </w:r>
          </w:p>
        </w:tc>
        <w:tc>
          <w:tcPr>
            <w:tcW w:w="1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讲课讲座记录</w:t>
            </w:r>
          </w:p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（1-2周一次）</w:t>
            </w:r>
          </w:p>
        </w:tc>
        <w:tc>
          <w:tcPr>
            <w:tcW w:w="1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频率、内容等</w:t>
            </w:r>
          </w:p>
        </w:tc>
        <w:tc>
          <w:tcPr>
            <w:tcW w:w="17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总  评</w:t>
            </w:r>
          </w:p>
        </w:tc>
        <w:tc>
          <w:tcPr>
            <w:tcW w:w="39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 w:cs="Arial"/>
                <w:sz w:val="24"/>
              </w:rPr>
            </w:pPr>
          </w:p>
        </w:tc>
      </w:tr>
    </w:tbl>
    <w:p>
      <w:r>
        <w:br w:type="page"/>
      </w:r>
    </w:p>
    <w:p>
      <w:pPr>
        <w:ind w:right="-437" w:rightChars="-208"/>
        <w:jc w:val="center"/>
        <w:rPr>
          <w:rFonts w:hint="eastAsia" w:ascii="华文新魏" w:eastAsia="华文新魏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GoBack"/>
      <w:r>
        <w:rPr>
          <w:rFonts w:hint="eastAsia" w:ascii="华文新魏" w:eastAsia="华文新魏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南京医科大学病历书写学生评分表</w:t>
      </w:r>
    </w:p>
    <w:bookmarkEnd w:id="1"/>
    <w:p>
      <w:pPr>
        <w:spacing w:line="360" w:lineRule="auto"/>
        <w:ind w:right="19" w:rightChars="9" w:firstLine="240" w:firstLineChars="100"/>
        <w:rPr>
          <w:rFonts w:hint="eastAsia" w:ascii="楷体_GB2312" w:hAnsi="华文中宋" w:eastAsia="楷体_GB231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楷体_GB2312" w:hAnsi="华文中宋" w:eastAsia="楷体_GB231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实习医院：                检查时间：              专家签名：</w:t>
      </w:r>
    </w:p>
    <w:tbl>
      <w:tblPr>
        <w:tblStyle w:val="2"/>
        <w:tblW w:w="100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907"/>
        <w:gridCol w:w="6520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99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评分项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分值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评分点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846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基本情况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（1）字迹工整，无错别字，无涂改、污迹；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（2）现病史、体格检查等内容非抄自病程录首页；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（3）病历书写及时，完成的病历份数符合大纲对实习医生的要求。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79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正确性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主诉符合要求，能导致第一诊断；现病史记录详实、准确；主诉与现病史紧密结合；现病史有鉴别诊断资料；对疾病发展变化过程描述明晰；有重要阴性症状记录；既往史中有与主要的诊断相关内容；能反映病后的一般情况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（2）主要阳性体征明确；有鉴别诊断意义的阴性体征。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（3）诊断确切，诊断依据充分；主次排列正确；无其它主要疾病误诊、漏诊。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（4）需写专科情况的病历专科情况书写明确，无缺陷；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48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完整性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一般项目、主诉、现病史、过去史、家族史、个人史、系统回顾、体格检查、诊断等项目完整，无漏项。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47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带教老师批阅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带教老师对实习生病历不足之处用红笔做出修改补充，并在病历后签名。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23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总分（100分）</w:t>
            </w:r>
          </w:p>
        </w:tc>
        <w:tc>
          <w:tcPr>
            <w:tcW w:w="7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31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点评</w:t>
            </w:r>
          </w:p>
        </w:tc>
        <w:tc>
          <w:tcPr>
            <w:tcW w:w="8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66242"/>
    <w:rsid w:val="21A04464"/>
    <w:rsid w:val="33883169"/>
    <w:rsid w:val="478A34FC"/>
    <w:rsid w:val="7DD50748"/>
    <w:rsid w:val="7FBA7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六</cp:lastModifiedBy>
  <dcterms:modified xsi:type="dcterms:W3CDTF">2021-11-18T02:24:33Z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FDCBED4A277448D7AFC614B5A4617791</vt:lpwstr>
  </property>
</Properties>
</file>